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BB" w:rsidRDefault="00024CBB" w:rsidP="00EC493A">
      <w:pPr>
        <w:pStyle w:val="NoSpacing"/>
        <w:rPr>
          <w:rFonts w:asciiTheme="minorHAnsi" w:hAnsiTheme="minorHAnsi" w:cstheme="minorHAnsi"/>
          <w:b/>
        </w:rPr>
      </w:pPr>
    </w:p>
    <w:p w:rsidR="00024CBB" w:rsidRDefault="00024CBB" w:rsidP="00EC493A">
      <w:pPr>
        <w:pStyle w:val="NoSpacing"/>
        <w:rPr>
          <w:rFonts w:asciiTheme="minorHAnsi" w:hAnsiTheme="minorHAnsi" w:cstheme="minorHAnsi"/>
          <w:b/>
        </w:rPr>
      </w:pPr>
    </w:p>
    <w:p w:rsidR="00EC493A" w:rsidRPr="002266F6" w:rsidRDefault="00EC493A" w:rsidP="00EC493A">
      <w:pPr>
        <w:pStyle w:val="NoSpacing"/>
        <w:rPr>
          <w:rFonts w:asciiTheme="minorHAnsi" w:hAnsiTheme="minorHAnsi" w:cstheme="minorHAnsi"/>
          <w:b/>
        </w:rPr>
      </w:pPr>
      <w:bookmarkStart w:id="0" w:name="_GoBack"/>
      <w:bookmarkEnd w:id="0"/>
      <w:r w:rsidRPr="002266F6">
        <w:rPr>
          <w:rFonts w:asciiTheme="minorHAnsi" w:hAnsiTheme="minorHAnsi" w:cstheme="minorHAnsi"/>
          <w:b/>
        </w:rPr>
        <w:t xml:space="preserve">Activity 4 – </w:t>
      </w:r>
      <w:r w:rsidR="009734F3">
        <w:rPr>
          <w:rFonts w:asciiTheme="minorHAnsi" w:hAnsiTheme="minorHAnsi" w:cstheme="minorHAnsi"/>
          <w:b/>
        </w:rPr>
        <w:t>My dream</w:t>
      </w:r>
      <w:r w:rsidRPr="002266F6">
        <w:rPr>
          <w:rFonts w:asciiTheme="minorHAnsi" w:hAnsiTheme="minorHAnsi" w:cstheme="minorHAnsi"/>
          <w:b/>
        </w:rPr>
        <w:t xml:space="preserve"> work experience</w:t>
      </w:r>
      <w:r w:rsidR="009734F3">
        <w:rPr>
          <w:rFonts w:asciiTheme="minorHAnsi" w:hAnsiTheme="minorHAnsi" w:cstheme="minorHAnsi"/>
          <w:b/>
        </w:rPr>
        <w:t>!</w:t>
      </w:r>
      <w:r w:rsidRPr="002266F6">
        <w:rPr>
          <w:rFonts w:asciiTheme="minorHAnsi" w:hAnsiTheme="minorHAnsi" w:cstheme="minorHAnsi"/>
          <w:b/>
        </w:rPr>
        <w:t xml:space="preserve"> </w:t>
      </w:r>
    </w:p>
    <w:p w:rsidR="00EC493A" w:rsidRPr="00CC3749" w:rsidRDefault="00EC493A" w:rsidP="00EC493A">
      <w:pPr>
        <w:pStyle w:val="NoSpacing"/>
        <w:rPr>
          <w:rFonts w:asciiTheme="minorHAnsi" w:hAnsiTheme="minorHAnsi" w:cstheme="minorHAnsi"/>
        </w:rPr>
      </w:pPr>
    </w:p>
    <w:p w:rsidR="00AD3424" w:rsidRDefault="007B230E" w:rsidP="00AD3424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experience </w:t>
      </w:r>
      <w:r w:rsidRPr="00CC3749">
        <w:rPr>
          <w:rFonts w:asciiTheme="minorHAnsi" w:hAnsiTheme="minorHAnsi" w:cstheme="minorHAnsi"/>
        </w:rPr>
        <w:t>provide</w:t>
      </w:r>
      <w:r>
        <w:rPr>
          <w:rFonts w:asciiTheme="minorHAnsi" w:hAnsiTheme="minorHAnsi" w:cstheme="minorHAnsi"/>
        </w:rPr>
        <w:t>s</w:t>
      </w:r>
      <w:r w:rsidRPr="00CC3749">
        <w:rPr>
          <w:rFonts w:asciiTheme="minorHAnsi" w:hAnsiTheme="minorHAnsi" w:cstheme="minorHAnsi"/>
        </w:rPr>
        <w:t xml:space="preserve"> an opportunity for young people t</w:t>
      </w:r>
      <w:r>
        <w:rPr>
          <w:rFonts w:asciiTheme="minorHAnsi" w:hAnsiTheme="minorHAnsi" w:cstheme="minorHAnsi"/>
        </w:rPr>
        <w:t xml:space="preserve">o experience the work place, </w:t>
      </w:r>
      <w:r w:rsidR="00132498">
        <w:rPr>
          <w:rFonts w:asciiTheme="minorHAnsi" w:hAnsiTheme="minorHAnsi" w:cstheme="minorHAnsi"/>
        </w:rPr>
        <w:t xml:space="preserve">to </w:t>
      </w:r>
      <w:r w:rsidR="00132498" w:rsidRPr="00CC3749">
        <w:rPr>
          <w:rFonts w:asciiTheme="minorHAnsi" w:hAnsiTheme="minorHAnsi" w:cstheme="minorHAnsi"/>
        </w:rPr>
        <w:t>better understand if a partic</w:t>
      </w:r>
      <w:r w:rsidR="00132498">
        <w:rPr>
          <w:rFonts w:asciiTheme="minorHAnsi" w:hAnsiTheme="minorHAnsi" w:cstheme="minorHAnsi"/>
        </w:rPr>
        <w:t xml:space="preserve">ular career is right for them </w:t>
      </w:r>
      <w:r>
        <w:rPr>
          <w:rFonts w:asciiTheme="minorHAnsi" w:hAnsiTheme="minorHAnsi" w:cstheme="minorHAnsi"/>
        </w:rPr>
        <w:t xml:space="preserve">and prepare them for the demands and expectations of the working world.  </w:t>
      </w:r>
      <w:r w:rsidR="00EB73FB">
        <w:rPr>
          <w:rFonts w:asciiTheme="minorHAnsi" w:hAnsiTheme="minorHAnsi" w:cstheme="minorHAnsi"/>
        </w:rPr>
        <w:t xml:space="preserve">Employers </w:t>
      </w:r>
      <w:r w:rsidR="00EC493A">
        <w:rPr>
          <w:rFonts w:asciiTheme="minorHAnsi" w:hAnsiTheme="minorHAnsi" w:cstheme="minorHAnsi"/>
        </w:rPr>
        <w:t>expect job applicants to</w:t>
      </w:r>
      <w:r w:rsidR="002266F6">
        <w:rPr>
          <w:rFonts w:asciiTheme="minorHAnsi" w:hAnsiTheme="minorHAnsi" w:cstheme="minorHAnsi"/>
        </w:rPr>
        <w:t xml:space="preserve"> have an impressive </w:t>
      </w:r>
      <w:r w:rsidR="00AD3424">
        <w:rPr>
          <w:rFonts w:asciiTheme="minorHAnsi" w:hAnsiTheme="minorHAnsi" w:cstheme="minorHAnsi"/>
        </w:rPr>
        <w:t xml:space="preserve">set of qualifications, </w:t>
      </w:r>
      <w:r w:rsidR="002266F6">
        <w:rPr>
          <w:rFonts w:asciiTheme="minorHAnsi" w:hAnsiTheme="minorHAnsi" w:cstheme="minorHAnsi"/>
        </w:rPr>
        <w:t xml:space="preserve">the edge to make sure they stand out amongst the competition, </w:t>
      </w:r>
      <w:r w:rsidR="00EC493A">
        <w:rPr>
          <w:rFonts w:asciiTheme="minorHAnsi" w:hAnsiTheme="minorHAnsi" w:cstheme="minorHAnsi"/>
        </w:rPr>
        <w:t>and are increasingly looking for candidates with relevant real life experience. The world of work is changing continually and at an unprecedented pace, and with so much compe</w:t>
      </w:r>
      <w:r w:rsidR="00AD3424">
        <w:rPr>
          <w:rFonts w:asciiTheme="minorHAnsi" w:hAnsiTheme="minorHAnsi" w:cstheme="minorHAnsi"/>
        </w:rPr>
        <w:t xml:space="preserve">tition for entry level jobs, </w:t>
      </w:r>
      <w:r w:rsidR="00EC493A">
        <w:rPr>
          <w:rFonts w:asciiTheme="minorHAnsi" w:hAnsiTheme="minorHAnsi" w:cstheme="minorHAnsi"/>
        </w:rPr>
        <w:t xml:space="preserve">apprenticeships, </w:t>
      </w:r>
      <w:r w:rsidR="00AD3424">
        <w:rPr>
          <w:rFonts w:asciiTheme="minorHAnsi" w:hAnsiTheme="minorHAnsi" w:cstheme="minorHAnsi"/>
        </w:rPr>
        <w:t xml:space="preserve">and graduate employment, </w:t>
      </w:r>
      <w:r w:rsidR="00EC493A">
        <w:rPr>
          <w:rFonts w:asciiTheme="minorHAnsi" w:hAnsiTheme="minorHAnsi" w:cstheme="minorHAnsi"/>
        </w:rPr>
        <w:t xml:space="preserve">it’s important for young people to stand out from the crowd. </w:t>
      </w:r>
      <w:r w:rsidR="00AD3424">
        <w:rPr>
          <w:rFonts w:asciiTheme="minorHAnsi" w:hAnsiTheme="minorHAnsi" w:cstheme="minorHAnsi"/>
        </w:rPr>
        <w:t xml:space="preserve"> </w:t>
      </w:r>
    </w:p>
    <w:p w:rsidR="008C2B0F" w:rsidRDefault="008C2B0F" w:rsidP="00AD3424">
      <w:pPr>
        <w:pStyle w:val="NoSpacing"/>
        <w:jc w:val="both"/>
        <w:rPr>
          <w:rFonts w:asciiTheme="minorHAnsi" w:hAnsiTheme="minorHAnsi" w:cstheme="minorHAnsi"/>
        </w:rPr>
      </w:pPr>
    </w:p>
    <w:p w:rsidR="008C2B0F" w:rsidRDefault="008C2B0F" w:rsidP="00AD3424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experience gently introduces young people to the world of work, and is especially helpful to students that are unsure of which career or pathway they want to pursue. </w:t>
      </w:r>
      <w:r w:rsidRPr="00FC58D5">
        <w:rPr>
          <w:rFonts w:asciiTheme="minorHAnsi" w:eastAsia="Open Sans" w:hAnsiTheme="minorHAnsi" w:cstheme="minorHAnsi"/>
          <w:highlight w:val="white"/>
        </w:rPr>
        <w:t>Despite the many advantages associated with g</w:t>
      </w:r>
      <w:r>
        <w:rPr>
          <w:rFonts w:asciiTheme="minorHAnsi" w:eastAsia="Open Sans" w:hAnsiTheme="minorHAnsi" w:cstheme="minorHAnsi"/>
          <w:highlight w:val="white"/>
        </w:rPr>
        <w:t xml:space="preserve">etting a university education, </w:t>
      </w:r>
      <w:r>
        <w:rPr>
          <w:rFonts w:asciiTheme="minorHAnsi" w:eastAsia="Open Sans" w:hAnsiTheme="minorHAnsi" w:cstheme="minorHAnsi"/>
        </w:rPr>
        <w:t>f</w:t>
      </w:r>
      <w:r>
        <w:rPr>
          <w:rFonts w:asciiTheme="minorHAnsi" w:hAnsiTheme="minorHAnsi" w:cstheme="minorHAnsi"/>
        </w:rPr>
        <w:t>or students</w:t>
      </w:r>
      <w:r w:rsidRPr="00CC3749">
        <w:rPr>
          <w:rFonts w:asciiTheme="minorHAnsi" w:hAnsiTheme="minorHAnsi" w:cstheme="minorHAnsi"/>
        </w:rPr>
        <w:t xml:space="preserve"> not plan</w:t>
      </w:r>
      <w:r>
        <w:rPr>
          <w:rFonts w:asciiTheme="minorHAnsi" w:hAnsiTheme="minorHAnsi" w:cstheme="minorHAnsi"/>
        </w:rPr>
        <w:t xml:space="preserve">ning on going to university, getting a job or </w:t>
      </w:r>
      <w:r w:rsidRPr="00CC3749">
        <w:rPr>
          <w:rFonts w:asciiTheme="minorHAnsi" w:hAnsiTheme="minorHAnsi" w:cstheme="minorHAnsi"/>
        </w:rPr>
        <w:t xml:space="preserve">doing an apprenticeship could </w:t>
      </w:r>
      <w:r>
        <w:rPr>
          <w:rFonts w:asciiTheme="minorHAnsi" w:hAnsiTheme="minorHAnsi" w:cstheme="minorHAnsi"/>
        </w:rPr>
        <w:t xml:space="preserve">be a </w:t>
      </w:r>
      <w:r w:rsidRPr="00CC3749">
        <w:rPr>
          <w:rFonts w:asciiTheme="minorHAnsi" w:hAnsiTheme="minorHAnsi" w:cstheme="minorHAnsi"/>
        </w:rPr>
        <w:t>consider</w:t>
      </w:r>
      <w:r>
        <w:rPr>
          <w:rFonts w:asciiTheme="minorHAnsi" w:hAnsiTheme="minorHAnsi" w:cstheme="minorHAnsi"/>
        </w:rPr>
        <w:t>ation</w:t>
      </w:r>
      <w:r w:rsidRPr="00CC3749">
        <w:rPr>
          <w:rFonts w:asciiTheme="minorHAnsi" w:hAnsiTheme="minorHAnsi" w:cstheme="minorHAnsi"/>
        </w:rPr>
        <w:t>. Apprenticeships are a good alternat</w:t>
      </w:r>
      <w:r>
        <w:rPr>
          <w:rFonts w:asciiTheme="minorHAnsi" w:hAnsiTheme="minorHAnsi" w:cstheme="minorHAnsi"/>
        </w:rPr>
        <w:t>ive to university, and allow young people</w:t>
      </w:r>
      <w:r w:rsidRPr="00CC3749">
        <w:rPr>
          <w:rFonts w:asciiTheme="minorHAnsi" w:hAnsiTheme="minorHAnsi" w:cstheme="minorHAnsi"/>
        </w:rPr>
        <w:t xml:space="preserve"> to study towards a qualification while learning on the job and earning a salar</w:t>
      </w:r>
      <w:r>
        <w:rPr>
          <w:rFonts w:asciiTheme="minorHAnsi" w:hAnsiTheme="minorHAnsi" w:cstheme="minorHAnsi"/>
        </w:rPr>
        <w:t xml:space="preserve">y at the same time. Apprenticeships are available in hundreds of areas, </w:t>
      </w:r>
      <w:r w:rsidRPr="00CC3749">
        <w:rPr>
          <w:rFonts w:asciiTheme="minorHAnsi" w:hAnsiTheme="minorHAnsi" w:cstheme="minorHAnsi"/>
        </w:rPr>
        <w:t>from animal care and cons</w:t>
      </w:r>
      <w:r>
        <w:rPr>
          <w:rFonts w:asciiTheme="minorHAnsi" w:hAnsiTheme="minorHAnsi" w:cstheme="minorHAnsi"/>
        </w:rPr>
        <w:t xml:space="preserve">truction to retail and sports. </w:t>
      </w:r>
      <w:r w:rsidRPr="00CC3749">
        <w:rPr>
          <w:rFonts w:asciiTheme="minorHAnsi" w:hAnsiTheme="minorHAnsi" w:cstheme="minorHAnsi"/>
        </w:rPr>
        <w:t>Gaining work experience through an apprenticeship can help young people de</w:t>
      </w:r>
      <w:r>
        <w:rPr>
          <w:rFonts w:asciiTheme="minorHAnsi" w:hAnsiTheme="minorHAnsi" w:cstheme="minorHAnsi"/>
        </w:rPr>
        <w:t>velop skills that employers value</w:t>
      </w:r>
      <w:r w:rsidRPr="00CC3749">
        <w:rPr>
          <w:rFonts w:asciiTheme="minorHAnsi" w:hAnsiTheme="minorHAnsi" w:cstheme="minorHAnsi"/>
        </w:rPr>
        <w:t xml:space="preserve"> such as communication, self-motivation, teamwork and taking responsibility.</w:t>
      </w:r>
    </w:p>
    <w:p w:rsidR="008C2B0F" w:rsidRDefault="008C2B0F" w:rsidP="00AD3424">
      <w:pPr>
        <w:pStyle w:val="NoSpacing"/>
        <w:jc w:val="both"/>
        <w:rPr>
          <w:rFonts w:asciiTheme="minorHAnsi" w:hAnsiTheme="minorHAnsi" w:cstheme="minorHAnsi"/>
        </w:rPr>
      </w:pPr>
    </w:p>
    <w:p w:rsidR="00E44D4B" w:rsidRDefault="00AD3424" w:rsidP="00AD3424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Pr="007137C1">
        <w:rPr>
          <w:rFonts w:asciiTheme="minorHAnsi" w:hAnsiTheme="minorHAnsi" w:cstheme="minorHAnsi"/>
        </w:rPr>
        <w:t xml:space="preserve">ualifications </w:t>
      </w:r>
      <w:r>
        <w:rPr>
          <w:rFonts w:asciiTheme="minorHAnsi" w:hAnsiTheme="minorHAnsi" w:cstheme="minorHAnsi"/>
        </w:rPr>
        <w:t>serve as a passport for young people to explore</w:t>
      </w:r>
      <w:r w:rsidRPr="007137C1">
        <w:rPr>
          <w:rFonts w:asciiTheme="minorHAnsi" w:hAnsiTheme="minorHAnsi" w:cstheme="minorHAnsi"/>
        </w:rPr>
        <w:t xml:space="preserve"> opportunities in education, training and work.  As a general rul</w:t>
      </w:r>
      <w:r>
        <w:rPr>
          <w:rFonts w:asciiTheme="minorHAnsi" w:hAnsiTheme="minorHAnsi" w:cstheme="minorHAnsi"/>
        </w:rPr>
        <w:t xml:space="preserve">e, the more qualifications young people </w:t>
      </w:r>
      <w:r w:rsidRPr="007137C1">
        <w:rPr>
          <w:rFonts w:asciiTheme="minorHAnsi" w:hAnsiTheme="minorHAnsi" w:cstheme="minorHAnsi"/>
        </w:rPr>
        <w:t>gain throughout life (e.g. further education and higher education), the less important their GCSE results become. When it comes to finding a job, most e</w:t>
      </w:r>
      <w:r w:rsidR="008C2B0F">
        <w:rPr>
          <w:rFonts w:asciiTheme="minorHAnsi" w:hAnsiTheme="minorHAnsi" w:cstheme="minorHAnsi"/>
        </w:rPr>
        <w:t>mployers will look at</w:t>
      </w:r>
      <w:r w:rsidRPr="007137C1">
        <w:rPr>
          <w:rFonts w:asciiTheme="minorHAnsi" w:hAnsiTheme="minorHAnsi" w:cstheme="minorHAnsi"/>
        </w:rPr>
        <w:t xml:space="preserve"> qualifications</w:t>
      </w:r>
      <w:r w:rsidR="00E44D4B">
        <w:rPr>
          <w:rFonts w:asciiTheme="minorHAnsi" w:hAnsiTheme="minorHAnsi" w:cstheme="minorHAnsi"/>
        </w:rPr>
        <w:t>*, but will</w:t>
      </w:r>
      <w:r>
        <w:rPr>
          <w:rFonts w:asciiTheme="minorHAnsi" w:hAnsiTheme="minorHAnsi" w:cstheme="minorHAnsi"/>
        </w:rPr>
        <w:t xml:space="preserve"> look at a </w:t>
      </w:r>
      <w:r w:rsidR="002266F6">
        <w:rPr>
          <w:rFonts w:asciiTheme="minorHAnsi" w:hAnsiTheme="minorHAnsi" w:cstheme="minorHAnsi"/>
        </w:rPr>
        <w:t xml:space="preserve">candidates </w:t>
      </w:r>
      <w:r>
        <w:rPr>
          <w:rFonts w:asciiTheme="minorHAnsi" w:hAnsiTheme="minorHAnsi" w:cstheme="minorHAnsi"/>
        </w:rPr>
        <w:t>CV mo</w:t>
      </w:r>
      <w:r w:rsidR="002266F6">
        <w:rPr>
          <w:rFonts w:asciiTheme="minorHAnsi" w:hAnsiTheme="minorHAnsi" w:cstheme="minorHAnsi"/>
        </w:rPr>
        <w:t>re favourably if they have w</w:t>
      </w:r>
      <w:r>
        <w:rPr>
          <w:rFonts w:asciiTheme="minorHAnsi" w:hAnsiTheme="minorHAnsi" w:cstheme="minorHAnsi"/>
        </w:rPr>
        <w:t>ork experience.</w:t>
      </w:r>
      <w:r w:rsidRPr="007137C1">
        <w:rPr>
          <w:rFonts w:asciiTheme="minorHAnsi" w:hAnsiTheme="minorHAnsi" w:cstheme="minorHAnsi"/>
        </w:rPr>
        <w:t xml:space="preserve"> </w:t>
      </w:r>
      <w:r w:rsidR="008C2B0F" w:rsidRPr="005B5A35">
        <w:rPr>
          <w:rFonts w:asciiTheme="minorHAnsi" w:hAnsiTheme="minorHAnsi" w:cstheme="minorHAnsi"/>
        </w:rPr>
        <w:t>It is imp</w:t>
      </w:r>
      <w:r w:rsidR="008C2B0F">
        <w:rPr>
          <w:rFonts w:asciiTheme="minorHAnsi" w:hAnsiTheme="minorHAnsi" w:cstheme="minorHAnsi"/>
        </w:rPr>
        <w:t>ortant for students to remember that many</w:t>
      </w:r>
      <w:r w:rsidR="008C2B0F" w:rsidRPr="00CC3749">
        <w:rPr>
          <w:rFonts w:asciiTheme="minorHAnsi" w:hAnsiTheme="minorHAnsi" w:cstheme="minorHAnsi"/>
        </w:rPr>
        <w:t xml:space="preserve"> of the skills valued in both higher education and future employment can be devel</w:t>
      </w:r>
      <w:r w:rsidR="008C2B0F">
        <w:rPr>
          <w:rFonts w:asciiTheme="minorHAnsi" w:hAnsiTheme="minorHAnsi" w:cstheme="minorHAnsi"/>
        </w:rPr>
        <w:t>oped through work-related activities.</w:t>
      </w:r>
    </w:p>
    <w:p w:rsidR="00EC493A" w:rsidRPr="00CC3749" w:rsidRDefault="00EC493A" w:rsidP="008C2B0F">
      <w:pPr>
        <w:pStyle w:val="NoSpacing"/>
        <w:jc w:val="both"/>
        <w:rPr>
          <w:rFonts w:asciiTheme="minorHAnsi" w:hAnsiTheme="minorHAnsi" w:cstheme="minorHAnsi"/>
        </w:rPr>
      </w:pPr>
    </w:p>
    <w:p w:rsidR="00EC493A" w:rsidRPr="008C2B0F" w:rsidRDefault="00AD3424" w:rsidP="008C2B0F">
      <w:pPr>
        <w:pStyle w:val="NoSpacing"/>
        <w:jc w:val="both"/>
        <w:rPr>
          <w:rFonts w:asciiTheme="minorHAnsi" w:hAnsiTheme="minorHAnsi" w:cstheme="minorHAnsi"/>
          <w:i/>
        </w:rPr>
      </w:pPr>
      <w:r w:rsidRPr="008C2B0F">
        <w:rPr>
          <w:rFonts w:asciiTheme="minorHAnsi" w:hAnsiTheme="minorHAnsi" w:cstheme="minorHAnsi"/>
          <w:i/>
        </w:rPr>
        <w:t>*Most companies will expect young people to have at least 5 GCSEs (including English, Maths and Science) with minimum of grade 4/5 which is the level likely to be required for many careers and higher education courses (the new GCSEs are graded 9 (highest grade) to 1 (lowest grade)). This is also the case for apprenticeship programmes, where students are required to have certain grades at GCSE. (</w:t>
      </w:r>
      <w:proofErr w:type="gramStart"/>
      <w:r w:rsidRPr="008C2B0F">
        <w:rPr>
          <w:rFonts w:asciiTheme="minorHAnsi" w:hAnsiTheme="minorHAnsi" w:cstheme="minorHAnsi"/>
          <w:i/>
        </w:rPr>
        <w:t>e.g</w:t>
      </w:r>
      <w:proofErr w:type="gramEnd"/>
      <w:r w:rsidRPr="008C2B0F">
        <w:rPr>
          <w:rFonts w:asciiTheme="minorHAnsi" w:hAnsiTheme="minorHAnsi" w:cstheme="minorHAnsi"/>
          <w:i/>
        </w:rPr>
        <w:t>. most advanced apprenticeships ask for around five GCSEs with minimum of grade 4/5, including English and maths). </w:t>
      </w:r>
    </w:p>
    <w:p w:rsidR="00EC493A" w:rsidRPr="00CC3749" w:rsidRDefault="00EC493A" w:rsidP="00EC493A">
      <w:pPr>
        <w:pStyle w:val="NoSpacing"/>
        <w:rPr>
          <w:rFonts w:asciiTheme="minorHAnsi" w:hAnsiTheme="minorHAnsi" w:cstheme="minorHAnsi"/>
        </w:rPr>
      </w:pPr>
    </w:p>
    <w:p w:rsidR="00EC493A" w:rsidRDefault="00EC493A" w:rsidP="00EC493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3537"/>
        <w:gridCol w:w="9356"/>
      </w:tblGrid>
      <w:tr w:rsidR="00EC493A" w:rsidTr="005719E2">
        <w:tc>
          <w:tcPr>
            <w:tcW w:w="14454" w:type="dxa"/>
            <w:gridSpan w:val="3"/>
          </w:tcPr>
          <w:p w:rsidR="003E199B" w:rsidRDefault="00EC493A" w:rsidP="003E19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2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Prior learning – </w:t>
            </w:r>
            <w:r w:rsidR="003E199B" w:rsidRPr="00572516">
              <w:rPr>
                <w:rFonts w:asciiTheme="minorHAnsi" w:hAnsiTheme="minorHAnsi" w:cstheme="minorHAnsi"/>
                <w:b/>
                <w:sz w:val="20"/>
                <w:szCs w:val="20"/>
              </w:rPr>
              <w:t>This can b</w:t>
            </w:r>
            <w:r w:rsidR="003E199B">
              <w:rPr>
                <w:rFonts w:asciiTheme="minorHAnsi" w:hAnsiTheme="minorHAnsi" w:cstheme="minorHAnsi"/>
                <w:b/>
                <w:sz w:val="20"/>
                <w:szCs w:val="20"/>
              </w:rPr>
              <w:t>e used as a stand-alone lesson guide,</w:t>
            </w:r>
            <w:r w:rsidR="003E199B" w:rsidRPr="00572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199B">
              <w:rPr>
                <w:rFonts w:asciiTheme="minorHAnsi" w:hAnsiTheme="minorHAnsi" w:cstheme="minorHAnsi"/>
                <w:b/>
                <w:sz w:val="20"/>
                <w:szCs w:val="20"/>
              </w:rPr>
              <w:t>or to follow on from Lesson 2</w:t>
            </w:r>
            <w:r w:rsidR="00132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199B" w:rsidRPr="001D6D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3E199B" w:rsidRPr="001D6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Hertfordshire’s growing employment sectors</w:t>
            </w:r>
            <w:r w:rsidR="003E1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C493A" w:rsidTr="005719E2">
        <w:tc>
          <w:tcPr>
            <w:tcW w:w="1561" w:type="dxa"/>
          </w:tcPr>
          <w:p w:rsidR="00EC493A" w:rsidRPr="002B710E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710E">
              <w:rPr>
                <w:rFonts w:asciiTheme="minorHAnsi" w:hAnsiTheme="minorHAnsi" w:cstheme="minorHAnsi"/>
                <w:b/>
                <w:sz w:val="20"/>
                <w:szCs w:val="20"/>
              </w:rPr>
              <w:t>Lesson aim</w:t>
            </w:r>
          </w:p>
        </w:tc>
        <w:tc>
          <w:tcPr>
            <w:tcW w:w="12893" w:type="dxa"/>
            <w:gridSpan w:val="2"/>
          </w:tcPr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session should encourage students to think about their skills and how they could match them with a work experience place</w:t>
            </w:r>
            <w:r w:rsidR="00132498">
              <w:rPr>
                <w:rFonts w:asciiTheme="minorHAnsi" w:hAnsiTheme="minorHAnsi" w:cstheme="minorHAnsi"/>
                <w:sz w:val="20"/>
                <w:szCs w:val="20"/>
              </w:rPr>
              <w:t>ment they would like to do</w:t>
            </w:r>
          </w:p>
        </w:tc>
      </w:tr>
      <w:tr w:rsidR="00EC493A" w:rsidTr="005719E2">
        <w:tc>
          <w:tcPr>
            <w:tcW w:w="1561" w:type="dxa"/>
          </w:tcPr>
          <w:p w:rsidR="00EC493A" w:rsidRPr="002B710E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710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Lesson outcomes</w:t>
            </w:r>
          </w:p>
        </w:tc>
        <w:tc>
          <w:tcPr>
            <w:tcW w:w="12893" w:type="dxa"/>
            <w:gridSpan w:val="2"/>
          </w:tcPr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will be able to:</w:t>
            </w:r>
          </w:p>
          <w:p w:rsidR="009734F3" w:rsidRPr="009734F3" w:rsidRDefault="009734F3" w:rsidP="009734F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 the importance of work experience to career planning</w:t>
            </w:r>
          </w:p>
          <w:p w:rsidR="00132498" w:rsidRDefault="009734F3" w:rsidP="00132498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132498">
              <w:rPr>
                <w:rFonts w:asciiTheme="minorHAnsi" w:hAnsiTheme="minorHAnsi" w:cstheme="minorHAnsi"/>
                <w:sz w:val="20"/>
                <w:szCs w:val="20"/>
              </w:rPr>
              <w:t xml:space="preserve">nderstand </w:t>
            </w:r>
            <w:r w:rsidR="001058CD">
              <w:rPr>
                <w:rFonts w:asciiTheme="minorHAnsi" w:hAnsiTheme="minorHAnsi" w:cstheme="minorHAnsi"/>
                <w:sz w:val="20"/>
                <w:szCs w:val="20"/>
              </w:rPr>
              <w:t>the steps needed to find and secure</w:t>
            </w:r>
            <w:r w:rsidR="00132498">
              <w:rPr>
                <w:rFonts w:asciiTheme="minorHAnsi" w:hAnsiTheme="minorHAnsi" w:cstheme="minorHAnsi"/>
                <w:sz w:val="20"/>
                <w:szCs w:val="20"/>
              </w:rPr>
              <w:t xml:space="preserve"> their next work experience opportunity</w:t>
            </w:r>
          </w:p>
          <w:p w:rsidR="009734F3" w:rsidRDefault="009734F3" w:rsidP="00132498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  <w:r w:rsidRPr="00571D6E">
              <w:rPr>
                <w:rFonts w:asciiTheme="minorHAnsi" w:hAnsiTheme="minorHAnsi" w:cstheme="minorHAnsi"/>
                <w:sz w:val="20"/>
                <w:szCs w:val="20"/>
              </w:rPr>
              <w:t xml:space="preserve"> the skills and qualities sought by employers</w:t>
            </w: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93A" w:rsidTr="005719E2">
        <w:tc>
          <w:tcPr>
            <w:tcW w:w="5098" w:type="dxa"/>
            <w:gridSpan w:val="2"/>
          </w:tcPr>
          <w:p w:rsidR="00EC493A" w:rsidRPr="00C80400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400">
              <w:rPr>
                <w:rFonts w:asciiTheme="minorHAnsi" w:hAnsiTheme="minorHAnsi" w:cstheme="minorHAnsi"/>
                <w:b/>
                <w:sz w:val="20"/>
                <w:szCs w:val="20"/>
              </w:rPr>
              <w:t>Brief for students</w:t>
            </w:r>
          </w:p>
        </w:tc>
        <w:tc>
          <w:tcPr>
            <w:tcW w:w="9356" w:type="dxa"/>
          </w:tcPr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80400">
              <w:rPr>
                <w:rFonts w:asciiTheme="minorHAnsi" w:hAnsiTheme="minorHAnsi" w:cstheme="minorHAnsi"/>
                <w:b/>
                <w:sz w:val="20"/>
                <w:szCs w:val="20"/>
              </w:rPr>
              <w:t>Teacher activity and notes</w:t>
            </w:r>
          </w:p>
        </w:tc>
      </w:tr>
      <w:tr w:rsidR="00EC493A" w:rsidTr="005719E2">
        <w:tc>
          <w:tcPr>
            <w:tcW w:w="1561" w:type="dxa"/>
          </w:tcPr>
          <w:p w:rsidR="00EC493A" w:rsidRPr="002B710E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710E">
              <w:rPr>
                <w:rFonts w:asciiTheme="minorHAnsi" w:hAnsiTheme="minorHAnsi" w:cstheme="minorHAnsi"/>
                <w:b/>
                <w:sz w:val="20"/>
                <w:szCs w:val="20"/>
              </w:rPr>
              <w:t>Starter activity</w:t>
            </w: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  <w:tc>
          <w:tcPr>
            <w:tcW w:w="3537" w:type="dxa"/>
          </w:tcPr>
          <w:p w:rsidR="00EC493A" w:rsidRPr="00FC58D5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58D5">
              <w:rPr>
                <w:rFonts w:asciiTheme="minorHAnsi" w:hAnsiTheme="minorHAnsi" w:cstheme="minorHAnsi"/>
                <w:b/>
                <w:sz w:val="20"/>
                <w:szCs w:val="20"/>
              </w:rPr>
              <w:t>Activity 1 - Why is work experience so important</w:t>
            </w:r>
            <w:r w:rsidR="006F5B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career planning</w:t>
            </w:r>
            <w:r w:rsidRPr="00FC58D5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Ask students to consider reasons why work experience is important.</w:t>
            </w:r>
          </w:p>
          <w:p w:rsidR="008C2B0F" w:rsidRDefault="008C2B0F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B05" w:rsidRDefault="008C2B0F" w:rsidP="008C2B0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Class </w:t>
            </w:r>
            <w:r w:rsidRPr="008C2B0F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  <w:r w:rsidR="006F5B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C2B0F">
              <w:rPr>
                <w:rFonts w:asciiTheme="minorHAnsi" w:hAnsiTheme="minorHAnsi" w:cstheme="minorHAnsi"/>
                <w:sz w:val="20"/>
                <w:szCs w:val="20"/>
              </w:rPr>
              <w:t xml:space="preserve">students </w:t>
            </w:r>
            <w:r w:rsidR="006F5B05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8C2B0F">
              <w:rPr>
                <w:rFonts w:asciiTheme="minorHAnsi" w:hAnsiTheme="minorHAnsi" w:cstheme="minorHAnsi"/>
                <w:sz w:val="20"/>
                <w:szCs w:val="20"/>
              </w:rPr>
              <w:t>share</w:t>
            </w:r>
            <w:r w:rsidR="006F5B05">
              <w:rPr>
                <w:rFonts w:asciiTheme="minorHAnsi" w:hAnsiTheme="minorHAnsi" w:cstheme="minorHAnsi"/>
                <w:sz w:val="20"/>
                <w:szCs w:val="20"/>
              </w:rPr>
              <w:t xml:space="preserve"> ideas of why work experience is so important for career planning.</w:t>
            </w:r>
          </w:p>
          <w:p w:rsidR="006F5B05" w:rsidRDefault="006F5B05" w:rsidP="008C2B0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2B0F" w:rsidRPr="008C2B0F" w:rsidRDefault="008C2B0F" w:rsidP="008C2B0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2B0F" w:rsidRPr="008C2B0F" w:rsidRDefault="008C2B0F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93A" w:rsidRDefault="00EC493A" w:rsidP="008C2B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:rsidR="00EC493A" w:rsidRPr="00FC58D5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58D5">
              <w:rPr>
                <w:rFonts w:asciiTheme="minorHAnsi" w:hAnsiTheme="minorHAnsi" w:cstheme="minorHAnsi"/>
                <w:b/>
                <w:sz w:val="20"/>
                <w:szCs w:val="20"/>
              </w:rPr>
              <w:t>Activity 1 - Why is work experience so important</w:t>
            </w:r>
            <w:r w:rsidR="006F5B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career planning</w:t>
            </w:r>
            <w:r w:rsidRPr="00FC58D5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:rsidR="008C2B0F" w:rsidRDefault="008C2B0F" w:rsidP="008C2B0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to note down reasons they think work experience is important.</w:t>
            </w: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93A" w:rsidRDefault="006F5B05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discussion – Teacher to facilit</w:t>
            </w:r>
            <w:r w:rsidRPr="008C2B0F">
              <w:rPr>
                <w:rFonts w:asciiTheme="minorHAnsi" w:hAnsiTheme="minorHAnsi" w:cstheme="minorHAnsi"/>
                <w:sz w:val="20"/>
                <w:szCs w:val="20"/>
              </w:rPr>
              <w:t>ate a class discussion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inviting students to share ideas of why work experience is so important.</w:t>
            </w:r>
          </w:p>
          <w:p w:rsidR="006F5B05" w:rsidRPr="006F5B05" w:rsidRDefault="006F5B05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F5B05">
              <w:rPr>
                <w:rFonts w:asciiTheme="minorHAnsi" w:hAnsiTheme="minorHAnsi" w:cstheme="minorHAnsi"/>
                <w:sz w:val="20"/>
                <w:szCs w:val="20"/>
              </w:rPr>
              <w:t>Students can add to their list of reasons.</w:t>
            </w:r>
          </w:p>
          <w:p w:rsidR="006F5B05" w:rsidRDefault="006F5B05" w:rsidP="006F5B0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Benefits of work experience for young people:</w:t>
            </w:r>
            <w:r w:rsidRPr="006F5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5B05" w:rsidRDefault="006F5B05" w:rsidP="006F5B05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5B05">
              <w:rPr>
                <w:rFonts w:asciiTheme="minorHAnsi" w:hAnsiTheme="minorHAnsi" w:cstheme="minorHAnsi"/>
                <w:sz w:val="20"/>
                <w:szCs w:val="20"/>
              </w:rPr>
              <w:t>makes for a really valu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able addition to a student’s CV </w:t>
            </w:r>
          </w:p>
          <w:p w:rsidR="006F5B05" w:rsidRDefault="006F5B05" w:rsidP="006F5B05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5B05">
              <w:rPr>
                <w:rFonts w:asciiTheme="minorHAnsi" w:hAnsiTheme="minorHAnsi" w:cstheme="minorHAnsi"/>
                <w:sz w:val="20"/>
                <w:szCs w:val="20"/>
              </w:rPr>
              <w:t>can demonstrate they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the attitudes and skills</w:t>
            </w:r>
          </w:p>
          <w:p w:rsidR="006F5B05" w:rsidRPr="002F4938" w:rsidRDefault="006F5B05" w:rsidP="006F5B05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</w:t>
            </w:r>
            <w:r w:rsidRPr="006F5B05">
              <w:rPr>
                <w:rFonts w:asciiTheme="minorHAnsi" w:hAnsiTheme="minorHAnsi" w:cstheme="minorHAnsi"/>
                <w:sz w:val="20"/>
                <w:szCs w:val="20"/>
              </w:rPr>
              <w:t>convince employer’s, apprenticeship providers, and universities that the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tudents want to learn </w:t>
            </w:r>
            <w:r w:rsidRPr="002F4938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</w:p>
          <w:p w:rsidR="006D032E" w:rsidRPr="002F4938" w:rsidRDefault="006D032E" w:rsidP="006F5B05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4938">
              <w:rPr>
                <w:rFonts w:asciiTheme="minorHAnsi" w:hAnsiTheme="minorHAnsi" w:cstheme="minorHAnsi"/>
                <w:sz w:val="20"/>
                <w:szCs w:val="20"/>
              </w:rPr>
              <w:t>can help students decide whether they are suited to a particular occupation or career</w:t>
            </w: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93A" w:rsidTr="005719E2">
        <w:tc>
          <w:tcPr>
            <w:tcW w:w="1561" w:type="dxa"/>
          </w:tcPr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710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Main activity</w:t>
            </w:r>
          </w:p>
          <w:p w:rsidR="00EC493A" w:rsidRPr="002B710E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minutes</w:t>
            </w:r>
          </w:p>
        </w:tc>
        <w:tc>
          <w:tcPr>
            <w:tcW w:w="3537" w:type="dxa"/>
          </w:tcPr>
          <w:p w:rsidR="00EC493A" w:rsidRPr="00747B67" w:rsidRDefault="006F5B05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B67">
              <w:rPr>
                <w:rFonts w:asciiTheme="minorHAnsi" w:hAnsiTheme="minorHAnsi" w:cstheme="minorHAnsi"/>
                <w:b/>
                <w:sz w:val="20"/>
                <w:szCs w:val="20"/>
              </w:rPr>
              <w:t>Activity 2 – My dream work experience!</w:t>
            </w:r>
          </w:p>
          <w:p w:rsidR="006F5B05" w:rsidRPr="00747B67" w:rsidRDefault="006F5B05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77D9" w:rsidRPr="00747B67" w:rsidRDefault="00024CBB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5577D9" w:rsidRPr="00747B6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Work Experience: step by step guide (hopinto.co.uk)</w:t>
              </w:r>
            </w:hyperlink>
          </w:p>
          <w:p w:rsidR="005577D9" w:rsidRPr="00747B67" w:rsidRDefault="005577D9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B67" w:rsidRPr="00747B67" w:rsidRDefault="005577D9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7B67">
              <w:rPr>
                <w:rFonts w:asciiTheme="minorHAnsi" w:hAnsiTheme="minorHAnsi" w:cstheme="minorHAnsi"/>
                <w:sz w:val="20"/>
                <w:szCs w:val="20"/>
              </w:rPr>
              <w:t>Using the step by step guide to getting relevant wo</w:t>
            </w:r>
            <w:r w:rsidR="00BD7EAF">
              <w:rPr>
                <w:rFonts w:asciiTheme="minorHAnsi" w:hAnsiTheme="minorHAnsi" w:cstheme="minorHAnsi"/>
                <w:sz w:val="20"/>
                <w:szCs w:val="20"/>
              </w:rPr>
              <w:t>rk experience, work through s</w:t>
            </w:r>
            <w:r w:rsidRPr="00747B67">
              <w:rPr>
                <w:rFonts w:asciiTheme="minorHAnsi" w:hAnsiTheme="minorHAnsi" w:cstheme="minorHAnsi"/>
                <w:sz w:val="20"/>
                <w:szCs w:val="20"/>
              </w:rPr>
              <w:t xml:space="preserve">teps </w:t>
            </w:r>
            <w:r w:rsidR="00BD7EAF">
              <w:rPr>
                <w:rFonts w:asciiTheme="minorHAnsi" w:hAnsiTheme="minorHAnsi" w:cstheme="minorHAnsi"/>
                <w:sz w:val="20"/>
                <w:szCs w:val="20"/>
              </w:rPr>
              <w:t xml:space="preserve">1 and 2 </w:t>
            </w:r>
            <w:r w:rsidRPr="00747B67">
              <w:rPr>
                <w:rFonts w:asciiTheme="minorHAnsi" w:hAnsiTheme="minorHAnsi" w:cstheme="minorHAnsi"/>
                <w:sz w:val="20"/>
                <w:szCs w:val="20"/>
              </w:rPr>
              <w:t>to secure your dream work experience placement.</w:t>
            </w:r>
          </w:p>
          <w:p w:rsidR="00747B67" w:rsidRDefault="00747B67" w:rsidP="00747B67">
            <w:pPr>
              <w:pStyle w:val="NormalWeb"/>
              <w:shd w:val="clear" w:color="auto" w:fill="FFFFFF"/>
              <w:spacing w:before="24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 should aim to have the name of at least 2 </w:t>
            </w:r>
            <w:r w:rsidR="00BD7EAF">
              <w:rPr>
                <w:rFonts w:asciiTheme="minorHAnsi" w:hAnsiTheme="minorHAnsi" w:cstheme="minorHAnsi"/>
                <w:sz w:val="20"/>
                <w:szCs w:val="20"/>
              </w:rPr>
              <w:t>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employers you could contact </w:t>
            </w:r>
            <w:r w:rsidR="00BD7EAF">
              <w:rPr>
                <w:rFonts w:asciiTheme="minorHAnsi" w:hAnsiTheme="minorHAnsi" w:cstheme="minorHAnsi"/>
                <w:sz w:val="20"/>
                <w:szCs w:val="20"/>
              </w:rPr>
              <w:t xml:space="preserve">to guarantee a work experience placement. </w:t>
            </w:r>
          </w:p>
          <w:p w:rsidR="00747B67" w:rsidRPr="00747B67" w:rsidRDefault="00747B67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2B0F" w:rsidRPr="00747B67" w:rsidRDefault="008C2B0F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:rsidR="006F5B05" w:rsidRDefault="006F5B05" w:rsidP="006F5B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B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Activity 2 – My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dream </w:t>
            </w:r>
            <w:r w:rsidRPr="006F5B05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ork experience</w:t>
            </w:r>
            <w:r w:rsidRPr="006F5B05">
              <w:rPr>
                <w:rFonts w:asciiTheme="minorHAnsi" w:hAnsiTheme="minorHAnsi" w:cstheme="minorHAnsi"/>
                <w:b/>
                <w:sz w:val="20"/>
                <w:szCs w:val="20"/>
              </w:rPr>
              <w:t>!</w:t>
            </w:r>
          </w:p>
          <w:p w:rsidR="009734F3" w:rsidRDefault="009734F3" w:rsidP="006F5B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77D9" w:rsidRDefault="00024CBB" w:rsidP="006F5B0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9" w:history="1">
              <w:r w:rsidR="005577D9" w:rsidRPr="005577D9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Work Experience: step by step guide (hopinto.co.uk)</w:t>
              </w:r>
            </w:hyperlink>
          </w:p>
          <w:p w:rsidR="005577D9" w:rsidRDefault="005577D9" w:rsidP="006F5B0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47B67" w:rsidRDefault="00747B67" w:rsidP="00747B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Ask students to </w:t>
            </w:r>
            <w:r w:rsidR="00BD7EAF">
              <w:rPr>
                <w:rFonts w:asciiTheme="minorHAnsi" w:hAnsiTheme="minorHAnsi" w:cstheme="minorHAnsi"/>
                <w:sz w:val="20"/>
                <w:szCs w:val="20"/>
              </w:rPr>
              <w:t>focus on steps 1 &amp; 2 of the 7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tep guide to getting relevant work experience. Students </w:t>
            </w:r>
            <w:r w:rsidR="00BD7EAF">
              <w:rPr>
                <w:rFonts w:asciiTheme="minorHAnsi" w:hAnsiTheme="minorHAnsi" w:cstheme="minorHAnsi"/>
                <w:sz w:val="20"/>
                <w:szCs w:val="20"/>
              </w:rPr>
              <w:t>should aim to have the name of at least 2 possible employers you could contact to guarantee a work experience placement.</w:t>
            </w:r>
          </w:p>
          <w:p w:rsidR="00747B67" w:rsidRDefault="00747B67" w:rsidP="00747B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B67" w:rsidRDefault="00747B67" w:rsidP="00747B6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Teacher input may include the following:</w:t>
            </w:r>
          </w:p>
          <w:p w:rsidR="00747B67" w:rsidRDefault="00747B67" w:rsidP="00747B6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577D9">
              <w:rPr>
                <w:rFonts w:asciiTheme="minorHAnsi" w:hAnsiTheme="minorHAnsi" w:cstheme="minorHAnsi"/>
                <w:sz w:val="20"/>
                <w:szCs w:val="20"/>
              </w:rPr>
              <w:t>Ask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5577D9">
              <w:rPr>
                <w:rFonts w:asciiTheme="minorHAnsi" w:hAnsiTheme="minorHAnsi" w:cstheme="minorHAnsi"/>
                <w:sz w:val="20"/>
                <w:szCs w:val="20"/>
              </w:rPr>
              <w:t xml:space="preserve"> students to consider a job they would want to do when they are older</w:t>
            </w:r>
          </w:p>
          <w:p w:rsidR="00747B67" w:rsidRDefault="00747B67" w:rsidP="00747B6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Supporting students who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don’t know what job they </w:t>
            </w:r>
            <w:r w:rsidRPr="00E45D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want to do in the future</w:t>
            </w:r>
          </w:p>
          <w:p w:rsidR="00747B67" w:rsidRPr="00747B67" w:rsidRDefault="00747B67" w:rsidP="00747B6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Asking students to consider their interests/passions/skills</w:t>
            </w:r>
          </w:p>
          <w:p w:rsidR="00EC493A" w:rsidRPr="00747B67" w:rsidRDefault="009734F3" w:rsidP="009F273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B67">
              <w:rPr>
                <w:rFonts w:asciiTheme="minorHAnsi" w:hAnsiTheme="minorHAnsi" w:cstheme="minorHAnsi"/>
                <w:sz w:val="20"/>
                <w:szCs w:val="20"/>
              </w:rPr>
              <w:t>Identify the top 3 skills that would matter in this job</w:t>
            </w:r>
            <w:r w:rsidR="00B867A7" w:rsidRPr="00747B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C493A" w:rsidTr="005719E2">
        <w:tc>
          <w:tcPr>
            <w:tcW w:w="1561" w:type="dxa"/>
          </w:tcPr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710E">
              <w:rPr>
                <w:rFonts w:asciiTheme="minorHAnsi" w:hAnsiTheme="minorHAnsi" w:cstheme="minorHAnsi"/>
                <w:b/>
                <w:sz w:val="20"/>
                <w:szCs w:val="20"/>
              </w:rPr>
              <w:t>Summary activity</w:t>
            </w:r>
          </w:p>
          <w:p w:rsidR="00EC493A" w:rsidRPr="002B710E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B710E">
              <w:rPr>
                <w:rFonts w:asciiTheme="minorHAnsi" w:hAnsiTheme="minorHAnsi" w:cs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3537" w:type="dxa"/>
          </w:tcPr>
          <w:p w:rsidR="006F5B05" w:rsidRDefault="006F5B05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B05" w:rsidRDefault="006F5B05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Discussion –</w:t>
            </w:r>
            <w:r w:rsidR="00D7287D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students have a better understanding of the process to fin</w:t>
            </w:r>
            <w:r w:rsidR="00D7287D">
              <w:rPr>
                <w:rFonts w:asciiTheme="minorHAnsi" w:hAnsiTheme="minorHAnsi" w:cstheme="minorHAnsi"/>
                <w:sz w:val="20"/>
                <w:szCs w:val="20"/>
              </w:rPr>
              <w:t>d a work experience opportunity?</w:t>
            </w:r>
          </w:p>
          <w:p w:rsidR="00747B67" w:rsidRDefault="00747B67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B67" w:rsidRPr="00747B67" w:rsidRDefault="00747B67" w:rsidP="00747B6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7B67">
              <w:rPr>
                <w:rFonts w:asciiTheme="minorHAnsi" w:hAnsiTheme="minorHAnsi" w:cstheme="minorHAnsi"/>
                <w:sz w:val="20"/>
                <w:szCs w:val="20"/>
              </w:rPr>
              <w:t>What should you do during an interview?</w:t>
            </w: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6" w:type="dxa"/>
          </w:tcPr>
          <w:p w:rsidR="00747B67" w:rsidRDefault="00301BBF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Revisit aims for the session and ask the students to highlight what they have learned.</w:t>
            </w:r>
          </w:p>
          <w:p w:rsidR="00301BBF" w:rsidRDefault="00301BBF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to invite input from students, and sum up findings from Activity 2.</w:t>
            </w:r>
          </w:p>
          <w:p w:rsidR="00747B67" w:rsidRDefault="00747B67" w:rsidP="006F5B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5B05" w:rsidRDefault="006F5B05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Discussion – ask the students if they feel they have a better understanding of the process to find a work experience opportunity.</w:t>
            </w:r>
          </w:p>
          <w:p w:rsidR="00747B67" w:rsidRDefault="00747B67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B67" w:rsidRPr="00747B67" w:rsidRDefault="00747B67" w:rsidP="00747B6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493A" w:rsidTr="005719E2">
        <w:tc>
          <w:tcPr>
            <w:tcW w:w="1561" w:type="dxa"/>
          </w:tcPr>
          <w:p w:rsidR="00EC493A" w:rsidRPr="002B710E" w:rsidRDefault="00EC493A" w:rsidP="005719E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6AB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Adapting the lesson to your needs/ next steps</w:t>
            </w:r>
          </w:p>
        </w:tc>
        <w:tc>
          <w:tcPr>
            <w:tcW w:w="12893" w:type="dxa"/>
            <w:gridSpan w:val="2"/>
          </w:tcPr>
          <w:p w:rsidR="00D85344" w:rsidRPr="00D85344" w:rsidRDefault="00D85344" w:rsidP="00D8534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5344">
              <w:rPr>
                <w:rFonts w:asciiTheme="minorHAnsi" w:hAnsiTheme="minorHAnsi" w:cstheme="minorHAnsi"/>
                <w:b/>
                <w:sz w:val="20"/>
                <w:szCs w:val="20"/>
              </w:rPr>
              <w:t>Follow-up activities</w:t>
            </w:r>
          </w:p>
          <w:p w:rsidR="00D85344" w:rsidRDefault="00D85344" w:rsidP="005719E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to continue to work through steps 3-7 of the guide.</w:t>
            </w:r>
          </w:p>
          <w:p w:rsidR="006F5B05" w:rsidRDefault="006F5B05" w:rsidP="005719E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Following students’ work experience placements, they should update their CV’s and add new skills/experience gained based on their diary entries.</w:t>
            </w:r>
          </w:p>
          <w:p w:rsidR="001058CD" w:rsidRDefault="001058CD" w:rsidP="001058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5344" w:rsidRPr="00CF02B9" w:rsidRDefault="00D85344" w:rsidP="00D8534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should students </w:t>
            </w:r>
            <w:r w:rsidRPr="001058CD">
              <w:rPr>
                <w:rFonts w:asciiTheme="minorHAnsi" w:hAnsiTheme="minorHAnsi" w:cstheme="minorHAnsi"/>
                <w:b/>
                <w:sz w:val="20"/>
                <w:szCs w:val="20"/>
              </w:rPr>
              <w:t>do during an interview?</w:t>
            </w:r>
          </w:p>
          <w:p w:rsidR="00D85344" w:rsidRDefault="00D85344" w:rsidP="00D853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Preparing for work experience placements/an interview</w:t>
            </w:r>
          </w:p>
          <w:p w:rsidR="00D85344" w:rsidRDefault="00D85344" w:rsidP="00D85344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Identify what </w:t>
            </w:r>
            <w:r w:rsidRPr="00571D6E">
              <w:rPr>
                <w:rFonts w:asciiTheme="minorHAnsi" w:hAnsiTheme="minorHAnsi" w:cstheme="minorHAnsi"/>
                <w:sz w:val="20"/>
                <w:szCs w:val="20"/>
              </w:rPr>
              <w:t>you should do before hand to prepare for an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and what you should do during the interview</w:t>
            </w:r>
          </w:p>
          <w:p w:rsidR="00D85344" w:rsidRDefault="00D85344" w:rsidP="00D8534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7B67">
              <w:rPr>
                <w:rFonts w:asciiTheme="minorHAnsi" w:hAnsiTheme="minorHAnsi" w:cstheme="minorHAnsi"/>
                <w:sz w:val="20"/>
                <w:szCs w:val="20"/>
              </w:rPr>
              <w:t>Understand the skills/qualities sought by employers and show how these are relevant in the interview process</w:t>
            </w:r>
          </w:p>
          <w:p w:rsidR="00D85344" w:rsidRDefault="00D85344" w:rsidP="001058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8CD" w:rsidRPr="001058CD" w:rsidRDefault="001058CD" w:rsidP="001058C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8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Competency questions </w:t>
            </w:r>
          </w:p>
          <w:p w:rsidR="001058CD" w:rsidRPr="001058CD" w:rsidRDefault="001058CD" w:rsidP="001058C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7287D">
              <w:rPr>
                <w:rFonts w:asciiTheme="minorHAnsi" w:hAnsiTheme="minorHAnsi" w:cstheme="minorHAnsi"/>
                <w:sz w:val="20"/>
                <w:szCs w:val="20"/>
              </w:rPr>
              <w:t>sed by employers to explore candidates’ transferable skills during the recruitment process for jobs or apprenticeships</w:t>
            </w:r>
          </w:p>
          <w:p w:rsidR="001058CD" w:rsidRPr="001058CD" w:rsidRDefault="001058CD" w:rsidP="001058C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 the STAR model and outline how it helps people answer competency questions in an interview situation</w:t>
            </w:r>
          </w:p>
          <w:p w:rsidR="001058CD" w:rsidRDefault="00EC493A" w:rsidP="001058C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Students could 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search 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1058CD">
              <w:rPr>
                <w:rFonts w:asciiTheme="minorHAnsi" w:hAnsiTheme="minorHAnsi" w:cstheme="minorHAnsi"/>
                <w:sz w:val="20"/>
                <w:szCs w:val="20"/>
              </w:rPr>
              <w:t>STAR (situation, t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ask, </w:t>
            </w:r>
            <w:r w:rsidR="001058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ction, </w:t>
            </w:r>
            <w:r w:rsidR="001058CD">
              <w:rPr>
                <w:rFonts w:asciiTheme="minorHAnsi" w:hAnsiTheme="minorHAnsi" w:cstheme="minorHAnsi"/>
                <w:sz w:val="20"/>
                <w:szCs w:val="20"/>
              </w:rPr>
              <w:t>and r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esult) approach to answering competency questions. </w:t>
            </w:r>
            <w:r w:rsidR="00D7287D" w:rsidRPr="001058C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This is an important skill that students will need to use in their CV, i</w:t>
            </w:r>
            <w:r w:rsidR="001058C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nterviews and application forms</w:t>
            </w:r>
          </w:p>
          <w:p w:rsidR="001058CD" w:rsidRPr="001058CD" w:rsidRDefault="001058CD" w:rsidP="001058C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can</w:t>
            </w:r>
            <w:r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 practice answering competency questions using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their own skills and experience (e.g. turn-taking in pairs) and this activity will help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 xml:space="preserve"> students understand how they could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answer competency questions </w:t>
            </w:r>
          </w:p>
          <w:p w:rsidR="00D7287D" w:rsidRPr="001058CD" w:rsidRDefault="001058CD" w:rsidP="001058C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Students can 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>consider which of their own skills and experiences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can draw on in order to do so (e.g. </w:t>
            </w:r>
            <w:r w:rsidR="00D7287D" w:rsidRPr="001058CD">
              <w:rPr>
                <w:rFonts w:asciiTheme="minorHAnsi" w:hAnsiTheme="minorHAnsi" w:cstheme="minorHAnsi"/>
                <w:sz w:val="20"/>
                <w:szCs w:val="20"/>
              </w:rPr>
              <w:t>How will you overcome obstacles?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C493A" w:rsidRDefault="00EC493A" w:rsidP="005719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493A" w:rsidRDefault="00EC493A" w:rsidP="00EC493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C493A" w:rsidRDefault="00EC493A" w:rsidP="00EC493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C493A" w:rsidRDefault="00EC493A" w:rsidP="00EC493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F7C3A" w:rsidRPr="007F57A5" w:rsidRDefault="00AF7C3A" w:rsidP="007F57A5"/>
    <w:sectPr w:rsidR="00AF7C3A" w:rsidRPr="007F57A5" w:rsidSect="00EC493A">
      <w:headerReference w:type="default" r:id="rId10"/>
      <w:footerReference w:type="default" r:id="rId11"/>
      <w:pgSz w:w="16838" w:h="11906" w:orient="landscape" w:code="9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BB" w:rsidRDefault="00163EBB" w:rsidP="00396A11">
      <w:pPr>
        <w:spacing w:after="0"/>
      </w:pPr>
      <w:r>
        <w:separator/>
      </w:r>
    </w:p>
  </w:endnote>
  <w:endnote w:type="continuationSeparator" w:id="0">
    <w:p w:rsidR="00163EBB" w:rsidRDefault="00163EBB" w:rsidP="00396A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fLTableStyle"/>
      <w:tblW w:w="9781" w:type="dxa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A725BE" w:rsidRPr="00A725BE" w:rsidTr="00E37A6D">
      <w:tc>
        <w:tcPr>
          <w:tcW w:w="3260" w:type="dxa"/>
        </w:tcPr>
        <w:p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</w:pPr>
          <w:r w:rsidRPr="00A725BE">
            <w:rPr>
              <w:rFonts w:cs="Arial"/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 wp14:anchorId="687FC447" wp14:editId="0899D97F">
                <wp:simplePos x="0" y="0"/>
                <wp:positionH relativeFrom="margin">
                  <wp:align>left</wp:align>
                </wp:positionH>
                <wp:positionV relativeFrom="paragraph">
                  <wp:posOffset>-159591</wp:posOffset>
                </wp:positionV>
                <wp:extent cx="1181100" cy="466725"/>
                <wp:effectExtent l="0" t="0" r="0" b="9525"/>
                <wp:wrapTight wrapText="bothSides">
                  <wp:wrapPolygon edited="0">
                    <wp:start x="3484" y="0"/>
                    <wp:lineTo x="0" y="13224"/>
                    <wp:lineTo x="0" y="16751"/>
                    <wp:lineTo x="3832" y="21159"/>
                    <wp:lineTo x="5923" y="21159"/>
                    <wp:lineTo x="11845" y="21159"/>
                    <wp:lineTo x="14981" y="21159"/>
                    <wp:lineTo x="21252" y="16751"/>
                    <wp:lineTo x="21252" y="9698"/>
                    <wp:lineTo x="11497" y="882"/>
                    <wp:lineTo x="6619" y="0"/>
                    <wp:lineTo x="3484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65566 Final Logo Herts for learning branding (Lo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:rsidR="00A725BE" w:rsidRPr="00A725BE" w:rsidRDefault="00AF7C3A" w:rsidP="00A725BE">
          <w:pPr>
            <w:pStyle w:val="Footer"/>
            <w:tabs>
              <w:tab w:val="clear" w:pos="4513"/>
              <w:tab w:val="clear" w:pos="9026"/>
            </w:tabs>
            <w:jc w:val="center"/>
          </w:pPr>
          <w:r>
            <w:rPr>
              <w:sz w:val="20"/>
            </w:rPr>
            <w:t>© 2020</w:t>
          </w:r>
          <w:r w:rsidR="00A725BE" w:rsidRPr="00A725BE">
            <w:rPr>
              <w:sz w:val="20"/>
            </w:rPr>
            <w:t xml:space="preserve"> Herts for Learning Ltd</w:t>
          </w:r>
        </w:p>
      </w:tc>
      <w:tc>
        <w:tcPr>
          <w:tcW w:w="3261" w:type="dxa"/>
          <w:vAlign w:val="center"/>
        </w:tcPr>
        <w:p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  <w:jc w:val="right"/>
          </w:pPr>
          <w:r w:rsidRPr="00A725BE">
            <w:rPr>
              <w:sz w:val="20"/>
            </w:rPr>
            <w:fldChar w:fldCharType="begin"/>
          </w:r>
          <w:r w:rsidRPr="00A725BE">
            <w:rPr>
              <w:sz w:val="20"/>
            </w:rPr>
            <w:instrText xml:space="preserve"> PAGE   \* MERGEFORMAT </w:instrText>
          </w:r>
          <w:r w:rsidRPr="00A725BE">
            <w:rPr>
              <w:sz w:val="20"/>
            </w:rPr>
            <w:fldChar w:fldCharType="separate"/>
          </w:r>
          <w:r w:rsidR="00024CBB">
            <w:rPr>
              <w:noProof/>
              <w:sz w:val="20"/>
            </w:rPr>
            <w:t>1</w:t>
          </w:r>
          <w:r w:rsidRPr="00A725BE">
            <w:rPr>
              <w:noProof/>
              <w:sz w:val="20"/>
            </w:rPr>
            <w:fldChar w:fldCharType="end"/>
          </w:r>
        </w:p>
      </w:tc>
    </w:tr>
  </w:tbl>
  <w:p w:rsidR="00396A11" w:rsidRPr="0076647C" w:rsidRDefault="00396A11" w:rsidP="00A725B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BB" w:rsidRDefault="00163EBB" w:rsidP="00396A11">
      <w:pPr>
        <w:spacing w:after="0"/>
      </w:pPr>
      <w:r>
        <w:separator/>
      </w:r>
    </w:p>
  </w:footnote>
  <w:footnote w:type="continuationSeparator" w:id="0">
    <w:p w:rsidR="00163EBB" w:rsidRDefault="00163EBB" w:rsidP="00396A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1B" w:rsidRDefault="00024CBB" w:rsidP="00024CBB">
    <w:pPr>
      <w:pStyle w:val="Header"/>
      <w:tabs>
        <w:tab w:val="clear" w:pos="4513"/>
        <w:tab w:val="clear" w:pos="9026"/>
        <w:tab w:val="left" w:pos="3350"/>
      </w:tabs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01FF14E" wp14:editId="14792EC8">
          <wp:simplePos x="0" y="0"/>
          <wp:positionH relativeFrom="margin">
            <wp:posOffset>-107950</wp:posOffset>
          </wp:positionH>
          <wp:positionV relativeFrom="paragraph">
            <wp:posOffset>-381635</wp:posOffset>
          </wp:positionV>
          <wp:extent cx="5067300" cy="831215"/>
          <wp:effectExtent l="0" t="0" r="0" b="6985"/>
          <wp:wrapTight wrapText="bothSides">
            <wp:wrapPolygon edited="0">
              <wp:start x="0" y="0"/>
              <wp:lineTo x="0" y="21286"/>
              <wp:lineTo x="21519" y="21286"/>
              <wp:lineTo x="215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al channels plus FB 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53" r="4597" b="34746"/>
                  <a:stretch/>
                </pic:blipFill>
                <pic:spPr bwMode="auto">
                  <a:xfrm>
                    <a:off x="0" y="0"/>
                    <a:ext cx="5067300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80D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85B2EF" wp14:editId="0C2E4096">
          <wp:simplePos x="0" y="0"/>
          <wp:positionH relativeFrom="margin">
            <wp:posOffset>8013700</wp:posOffset>
          </wp:positionH>
          <wp:positionV relativeFrom="paragraph">
            <wp:posOffset>-407035</wp:posOffset>
          </wp:positionV>
          <wp:extent cx="1877060" cy="977900"/>
          <wp:effectExtent l="0" t="0" r="0" b="0"/>
          <wp:wrapTight wrapText="bothSides">
            <wp:wrapPolygon edited="0">
              <wp:start x="1973" y="2525"/>
              <wp:lineTo x="877" y="9257"/>
              <wp:lineTo x="658" y="17673"/>
              <wp:lineTo x="16222" y="17673"/>
              <wp:lineTo x="16441" y="16831"/>
              <wp:lineTo x="20387" y="10099"/>
              <wp:lineTo x="20825" y="6732"/>
              <wp:lineTo x="20168" y="3787"/>
              <wp:lineTo x="18853" y="2525"/>
              <wp:lineTo x="1973" y="2525"/>
            </wp:wrapPolygon>
          </wp:wrapTight>
          <wp:docPr id="1" name="Picture 1" descr="W:\NEW LEP FOLDERS\Careers &amp; Enterprise Company\HERTFORDSHIRE CEC PROGRAMME\HOP LESSON PLANS\HOP_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NEW LEP FOLDERS\Careers &amp; Enterprise Company\HERTFORDSHIRE CEC PROGRAMME\HOP LESSON PLANS\HOP_PRIMARY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37A6D" w:rsidRDefault="00E37A6D" w:rsidP="00E37A6D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F1E"/>
    <w:multiLevelType w:val="hybridMultilevel"/>
    <w:tmpl w:val="830830A2"/>
    <w:lvl w:ilvl="0" w:tplc="F2E0FA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51"/>
    <w:multiLevelType w:val="hybridMultilevel"/>
    <w:tmpl w:val="14B0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0FF"/>
    <w:multiLevelType w:val="hybridMultilevel"/>
    <w:tmpl w:val="DDB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37D"/>
    <w:multiLevelType w:val="hybridMultilevel"/>
    <w:tmpl w:val="A1F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7D1"/>
    <w:multiLevelType w:val="hybridMultilevel"/>
    <w:tmpl w:val="FDE2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3876"/>
    <w:multiLevelType w:val="hybridMultilevel"/>
    <w:tmpl w:val="8C82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5E76"/>
    <w:multiLevelType w:val="hybridMultilevel"/>
    <w:tmpl w:val="535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F2FA9"/>
    <w:multiLevelType w:val="hybridMultilevel"/>
    <w:tmpl w:val="979CC4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415"/>
    <w:multiLevelType w:val="hybridMultilevel"/>
    <w:tmpl w:val="1FA6A6B0"/>
    <w:lvl w:ilvl="0" w:tplc="BF2A59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D41EA"/>
    <w:multiLevelType w:val="hybridMultilevel"/>
    <w:tmpl w:val="E02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A"/>
    <w:rsid w:val="00024CBB"/>
    <w:rsid w:val="00060156"/>
    <w:rsid w:val="000D0882"/>
    <w:rsid w:val="000E29D4"/>
    <w:rsid w:val="001058CD"/>
    <w:rsid w:val="00132498"/>
    <w:rsid w:val="00163EBB"/>
    <w:rsid w:val="001D6B78"/>
    <w:rsid w:val="00200127"/>
    <w:rsid w:val="002266F6"/>
    <w:rsid w:val="00287E1F"/>
    <w:rsid w:val="002A2EF4"/>
    <w:rsid w:val="002F4938"/>
    <w:rsid w:val="00301BBF"/>
    <w:rsid w:val="003124D4"/>
    <w:rsid w:val="00325949"/>
    <w:rsid w:val="00396A11"/>
    <w:rsid w:val="003E199B"/>
    <w:rsid w:val="00437CE6"/>
    <w:rsid w:val="00484348"/>
    <w:rsid w:val="005577D9"/>
    <w:rsid w:val="005719E2"/>
    <w:rsid w:val="00597A02"/>
    <w:rsid w:val="005B2F5D"/>
    <w:rsid w:val="00615BC1"/>
    <w:rsid w:val="006D032E"/>
    <w:rsid w:val="006F5B05"/>
    <w:rsid w:val="00737BAE"/>
    <w:rsid w:val="00747B67"/>
    <w:rsid w:val="0076647C"/>
    <w:rsid w:val="00794C45"/>
    <w:rsid w:val="007B230E"/>
    <w:rsid w:val="007F57A5"/>
    <w:rsid w:val="00844565"/>
    <w:rsid w:val="008B71A2"/>
    <w:rsid w:val="008C2437"/>
    <w:rsid w:val="008C2B0F"/>
    <w:rsid w:val="0092162E"/>
    <w:rsid w:val="009734F3"/>
    <w:rsid w:val="009F2739"/>
    <w:rsid w:val="00A66E59"/>
    <w:rsid w:val="00A725BE"/>
    <w:rsid w:val="00A773AC"/>
    <w:rsid w:val="00A77BA2"/>
    <w:rsid w:val="00AC16FB"/>
    <w:rsid w:val="00AD3424"/>
    <w:rsid w:val="00AF7C3A"/>
    <w:rsid w:val="00B57F8F"/>
    <w:rsid w:val="00B867A7"/>
    <w:rsid w:val="00BD7EAF"/>
    <w:rsid w:val="00C93E3C"/>
    <w:rsid w:val="00CE7968"/>
    <w:rsid w:val="00CF02B9"/>
    <w:rsid w:val="00D21C62"/>
    <w:rsid w:val="00D61388"/>
    <w:rsid w:val="00D62AF4"/>
    <w:rsid w:val="00D67E1B"/>
    <w:rsid w:val="00D7287D"/>
    <w:rsid w:val="00D847BE"/>
    <w:rsid w:val="00D85344"/>
    <w:rsid w:val="00DD39A7"/>
    <w:rsid w:val="00E37A6D"/>
    <w:rsid w:val="00E44D4B"/>
    <w:rsid w:val="00E93D93"/>
    <w:rsid w:val="00EB73FB"/>
    <w:rsid w:val="00EC1AD2"/>
    <w:rsid w:val="00EC493A"/>
    <w:rsid w:val="00F078E9"/>
    <w:rsid w:val="00F5252A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FC1E0F"/>
  <w15:chartTrackingRefBased/>
  <w15:docId w15:val="{0FDC7226-E74C-4DC6-8562-D771AAD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B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739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739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739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739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2739"/>
    <w:pPr>
      <w:keepNext/>
      <w:keepLines/>
      <w:outlineLvl w:val="4"/>
    </w:pPr>
    <w:rPr>
      <w:rFonts w:eastAsiaTheme="majorEastAsia" w:cstheme="majorBidi"/>
      <w:b/>
      <w:color w:val="2F9A87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024C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4CBB"/>
  </w:style>
  <w:style w:type="table" w:styleId="TableGrid">
    <w:name w:val="Table Grid"/>
    <w:basedOn w:val="TableNormal"/>
    <w:uiPriority w:val="39"/>
    <w:rsid w:val="009F2739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9F27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739"/>
  </w:style>
  <w:style w:type="paragraph" w:styleId="Footer">
    <w:name w:val="footer"/>
    <w:basedOn w:val="Normal"/>
    <w:link w:val="FooterChar"/>
    <w:unhideWhenUsed/>
    <w:rsid w:val="009F27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F2739"/>
  </w:style>
  <w:style w:type="character" w:styleId="Hyperlink">
    <w:name w:val="Hyperlink"/>
    <w:basedOn w:val="DefaultParagraphFont"/>
    <w:uiPriority w:val="99"/>
    <w:unhideWhenUsed/>
    <w:rsid w:val="009F2739"/>
    <w:rPr>
      <w:color w:val="1A285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273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2739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739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739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739"/>
    <w:pPr>
      <w:numPr>
        <w:numId w:val="2"/>
      </w:numPr>
      <w:ind w:left="714" w:hanging="357"/>
      <w:contextualSpacing/>
    </w:pPr>
  </w:style>
  <w:style w:type="table" w:customStyle="1" w:styleId="HfLTableStyle">
    <w:name w:val="HfLTableStyle"/>
    <w:basedOn w:val="TableNormal"/>
    <w:uiPriority w:val="99"/>
    <w:rsid w:val="009F2739"/>
    <w:pPr>
      <w:spacing w:after="0" w:line="240" w:lineRule="auto"/>
    </w:pPr>
    <w:tblPr/>
  </w:style>
  <w:style w:type="paragraph" w:customStyle="1" w:styleId="TableText">
    <w:name w:val="TableText"/>
    <w:basedOn w:val="NoSpacing"/>
    <w:qFormat/>
    <w:rsid w:val="009F2739"/>
    <w:pPr>
      <w:spacing w:before="60" w:after="60"/>
    </w:pPr>
  </w:style>
  <w:style w:type="paragraph" w:styleId="NoSpacing">
    <w:name w:val="No Spacing"/>
    <w:uiPriority w:val="1"/>
    <w:qFormat/>
    <w:rsid w:val="009F273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F2739"/>
    <w:rPr>
      <w:rFonts w:eastAsiaTheme="majorEastAsia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9F2739"/>
    <w:rPr>
      <w:rFonts w:eastAsiaTheme="majorEastAsia" w:cstheme="majorBidi"/>
      <w:b/>
      <w:color w:val="2F9A87" w:themeColor="accent1" w:themeShade="BF"/>
    </w:rPr>
  </w:style>
  <w:style w:type="paragraph" w:customStyle="1" w:styleId="Default">
    <w:name w:val="Default"/>
    <w:rsid w:val="00EC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into.co.uk/explore-careers/resources/work-experience-step-by-step-gu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pinto.co.uk/explore-careers/resources/work-experience-step-by-step-guide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fL Theme">
      <a:dk1>
        <a:sysClr val="windowText" lastClr="000000"/>
      </a:dk1>
      <a:lt1>
        <a:sysClr val="window" lastClr="FFFFFF"/>
      </a:lt1>
      <a:dk2>
        <a:srgbClr val="47C7B0"/>
      </a:dk2>
      <a:lt2>
        <a:srgbClr val="EEECE1"/>
      </a:lt2>
      <a:accent1>
        <a:srgbClr val="47C7B0"/>
      </a:accent1>
      <a:accent2>
        <a:srgbClr val="47C7B0"/>
      </a:accent2>
      <a:accent3>
        <a:srgbClr val="1A2857"/>
      </a:accent3>
      <a:accent4>
        <a:srgbClr val="A94E91"/>
      </a:accent4>
      <a:accent5>
        <a:srgbClr val="74CC3B"/>
      </a:accent5>
      <a:accent6>
        <a:srgbClr val="F05133"/>
      </a:accent6>
      <a:hlink>
        <a:srgbClr val="1A2857"/>
      </a:hlink>
      <a:folHlink>
        <a:srgbClr val="A94E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B927E17615A4CA5DDE5DC09E5D0FB" ma:contentTypeVersion="14" ma:contentTypeDescription="Create a new document." ma:contentTypeScope="" ma:versionID="7776eb10718d9f1ca32bca6ca34605db">
  <xsd:schema xmlns:xsd="http://www.w3.org/2001/XMLSchema" xmlns:xs="http://www.w3.org/2001/XMLSchema" xmlns:p="http://schemas.microsoft.com/office/2006/metadata/properties" xmlns:ns2="0795a72a-1e94-4ef8-a692-d940a39d477a" xmlns:ns3="a015b839-8707-4a90-b8b6-4d24512f9d1a" targetNamespace="http://schemas.microsoft.com/office/2006/metadata/properties" ma:root="true" ma:fieldsID="52442b33f3c9541fd62905acdefd2c35" ns2:_="" ns3:_="">
    <xsd:import namespace="0795a72a-1e94-4ef8-a692-d940a39d477a"/>
    <xsd:import namespace="a015b839-8707-4a90-b8b6-4d24512f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a72a-1e94-4ef8-a692-d940a39d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591295-653a-4c86-a119-b5bc809d1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5b839-8707-4a90-b8b6-4d24512f9d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3b94cf-8fa9-49da-8127-43e217e5555c}" ma:internalName="TaxCatchAll" ma:showField="CatchAllData" ma:web="a015b839-8707-4a90-b8b6-4d24512f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5a72a-1e94-4ef8-a692-d940a39d477a">
      <Terms xmlns="http://schemas.microsoft.com/office/infopath/2007/PartnerControls"/>
    </lcf76f155ced4ddcb4097134ff3c332f>
    <TaxCatchAll xmlns="a015b839-8707-4a90-b8b6-4d24512f9d1a" xsi:nil="true"/>
  </documentManagement>
</p:properties>
</file>

<file path=customXml/itemProps1.xml><?xml version="1.0" encoding="utf-8"?>
<ds:datastoreItem xmlns:ds="http://schemas.openxmlformats.org/officeDocument/2006/customXml" ds:itemID="{F14C11F5-3D15-443C-8453-A19790D08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8638F-05A5-42BD-9795-FCCD5F71992D}"/>
</file>

<file path=customXml/itemProps3.xml><?xml version="1.0" encoding="utf-8"?>
<ds:datastoreItem xmlns:ds="http://schemas.openxmlformats.org/officeDocument/2006/customXml" ds:itemID="{67023EBC-D46C-486D-9A4E-C3C876404947}"/>
</file>

<file path=customXml/itemProps4.xml><?xml version="1.0" encoding="utf-8"?>
<ds:datastoreItem xmlns:ds="http://schemas.openxmlformats.org/officeDocument/2006/customXml" ds:itemID="{C0977E2C-19F9-4C62-8112-AE4CF40D6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(Numbered Pages)</vt:lpstr>
    </vt:vector>
  </TitlesOfParts>
  <Company>HfL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(Numbered Pages)</dc:title>
  <dc:subject/>
  <dc:creator>Suki Gill</dc:creator>
  <cp:keywords/>
  <dc:description/>
  <cp:lastModifiedBy>Mia Bashford</cp:lastModifiedBy>
  <cp:revision>8</cp:revision>
  <dcterms:created xsi:type="dcterms:W3CDTF">2021-02-15T00:43:00Z</dcterms:created>
  <dcterms:modified xsi:type="dcterms:W3CDTF">2021-03-29T13:49:00Z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0x010100E91B927E17615A4CA5DDE5DC09E5D0FB</vt:lpwstr>
  </property>
  <property fmtid="{D5CDD505-2E9C-101B-9397-08002B2CF9AE}" pid="3" name="Order">
    <vt:r8>576400</vt:r8>
  </property>
</Properties>
</file>